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75C29">
      <w:pPr>
        <w:jc w:val="both"/>
        <w:rPr>
          <w:rFonts w:hint="eastAsia" w:ascii="方正黑体_GBK" w:hAnsi="方正黑体_GBK" w:eastAsia="方正黑体_GBK" w:cs="方正黑体_GBK"/>
          <w:b w:val="0"/>
          <w:bCs w:val="0"/>
          <w:sz w:val="32"/>
          <w:szCs w:val="40"/>
          <w:lang w:val="en-US" w:eastAsia="zh-CN"/>
        </w:rPr>
      </w:pPr>
      <w:r>
        <w:rPr>
          <w:rFonts w:hint="eastAsia" w:ascii="方正黑体_GBK" w:hAnsi="方正黑体_GBK" w:eastAsia="方正黑体_GBK" w:cs="方正黑体_GBK"/>
          <w:b w:val="0"/>
          <w:bCs w:val="0"/>
          <w:sz w:val="32"/>
          <w:szCs w:val="40"/>
          <w:lang w:val="en-US" w:eastAsia="zh-CN"/>
        </w:rPr>
        <w:t>附件</w:t>
      </w:r>
    </w:p>
    <w:p w14:paraId="359AF5A5">
      <w:pPr>
        <w:jc w:val="center"/>
        <w:rPr>
          <w:rFonts w:hint="eastAsia"/>
          <w:b/>
          <w:bCs/>
          <w:sz w:val="32"/>
          <w:szCs w:val="40"/>
          <w:lang w:val="en-US" w:eastAsia="zh-CN"/>
        </w:rPr>
      </w:pPr>
      <w:r>
        <w:rPr>
          <w:rFonts w:hint="eastAsia"/>
          <w:b/>
          <w:bCs/>
          <w:sz w:val="32"/>
          <w:szCs w:val="40"/>
          <w:lang w:val="en-US" w:eastAsia="zh-CN"/>
        </w:rPr>
        <w:t>综合评分标准</w:t>
      </w:r>
    </w:p>
    <w:tbl>
      <w:tblPr>
        <w:tblStyle w:val="4"/>
        <w:tblW w:w="9576" w:type="dxa"/>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997"/>
        <w:gridCol w:w="995"/>
        <w:gridCol w:w="6958"/>
      </w:tblGrid>
      <w:tr w14:paraId="0DC7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26" w:type="dxa"/>
            <w:noWrap/>
            <w:vAlign w:val="center"/>
          </w:tcPr>
          <w:p w14:paraId="72075452">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序号</w:t>
            </w:r>
          </w:p>
        </w:tc>
        <w:tc>
          <w:tcPr>
            <w:tcW w:w="997" w:type="dxa"/>
            <w:noWrap/>
            <w:vAlign w:val="center"/>
          </w:tcPr>
          <w:p w14:paraId="49C2ACD7">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评分</w:t>
            </w:r>
          </w:p>
          <w:p w14:paraId="474081CA">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因素</w:t>
            </w:r>
          </w:p>
        </w:tc>
        <w:tc>
          <w:tcPr>
            <w:tcW w:w="995" w:type="dxa"/>
            <w:noWrap/>
            <w:vAlign w:val="center"/>
          </w:tcPr>
          <w:p w14:paraId="0EFF1A6A">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分值</w:t>
            </w:r>
          </w:p>
        </w:tc>
        <w:tc>
          <w:tcPr>
            <w:tcW w:w="6958" w:type="dxa"/>
            <w:noWrap/>
            <w:vAlign w:val="center"/>
          </w:tcPr>
          <w:p w14:paraId="4346FFDF">
            <w:pPr>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评分标准</w:t>
            </w:r>
          </w:p>
        </w:tc>
      </w:tr>
      <w:tr w14:paraId="049C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26" w:type="dxa"/>
            <w:noWrap/>
            <w:vAlign w:val="center"/>
          </w:tcPr>
          <w:p w14:paraId="1CC93873">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w:t>
            </w:r>
          </w:p>
        </w:tc>
        <w:tc>
          <w:tcPr>
            <w:tcW w:w="997" w:type="dxa"/>
            <w:noWrap/>
            <w:vAlign w:val="center"/>
          </w:tcPr>
          <w:p w14:paraId="299F62D0">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报价</w:t>
            </w:r>
          </w:p>
        </w:tc>
        <w:tc>
          <w:tcPr>
            <w:tcW w:w="995" w:type="dxa"/>
            <w:noWrap/>
            <w:vAlign w:val="center"/>
          </w:tcPr>
          <w:p w14:paraId="6DB32433">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10分</w:t>
            </w:r>
          </w:p>
        </w:tc>
        <w:tc>
          <w:tcPr>
            <w:tcW w:w="6958" w:type="dxa"/>
            <w:noWrap/>
            <w:vAlign w:val="center"/>
          </w:tcPr>
          <w:p w14:paraId="1F91BC2D">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满足比选公告资格要求且报价最低的比选申请人的价格为评审基准价，其价格分为满分。其他比选申请人的价格分统一按照下列公式计算：</w:t>
            </w:r>
          </w:p>
          <w:p w14:paraId="1C4E67DA">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 xml:space="preserve">公式：得分= </w:t>
            </w:r>
            <w:r>
              <w:rPr>
                <w:rFonts w:hint="eastAsia" w:ascii="Times New Roman" w:hAnsi="Times New Roman" w:eastAsia="方正仿宋_GBK" w:cs="Times New Roman"/>
                <w:b w:val="0"/>
                <w:bCs/>
                <w:color w:val="auto"/>
                <w:kern w:val="2"/>
                <w:sz w:val="24"/>
                <w:szCs w:val="24"/>
                <w:highlight w:val="none"/>
                <w:lang w:val="en-US" w:eastAsia="zh-CN" w:bidi="ar-SA"/>
              </w:rPr>
              <w:t>（</w:t>
            </w:r>
            <w:r>
              <w:rPr>
                <w:rFonts w:hint="default" w:ascii="Times New Roman" w:hAnsi="Times New Roman" w:eastAsia="方正仿宋_GBK" w:cs="Times New Roman"/>
                <w:b w:val="0"/>
                <w:bCs/>
                <w:color w:val="auto"/>
                <w:kern w:val="2"/>
                <w:sz w:val="24"/>
                <w:szCs w:val="24"/>
                <w:highlight w:val="none"/>
                <w:lang w:val="en-US" w:eastAsia="zh-CN" w:bidi="ar-SA"/>
              </w:rPr>
              <w:t>基准价/比选报价</w:t>
            </w:r>
            <w:r>
              <w:rPr>
                <w:rFonts w:hint="eastAsia" w:ascii="Times New Roman" w:hAnsi="Times New Roman" w:eastAsia="方正仿宋_GBK" w:cs="Times New Roman"/>
                <w:b w:val="0"/>
                <w:bCs/>
                <w:color w:val="auto"/>
                <w:kern w:val="2"/>
                <w:sz w:val="24"/>
                <w:szCs w:val="24"/>
                <w:highlight w:val="none"/>
                <w:lang w:val="en-US" w:eastAsia="zh-CN" w:bidi="ar-SA"/>
              </w:rPr>
              <w:t>）</w:t>
            </w:r>
            <w:r>
              <w:rPr>
                <w:rFonts w:hint="default" w:ascii="Times New Roman" w:hAnsi="Times New Roman" w:eastAsia="方正仿宋_GBK" w:cs="Times New Roman"/>
                <w:b w:val="0"/>
                <w:bCs/>
                <w:color w:val="auto"/>
                <w:kern w:val="2"/>
                <w:sz w:val="24"/>
                <w:szCs w:val="24"/>
                <w:highlight w:val="none"/>
                <w:lang w:val="en-US" w:eastAsia="zh-CN" w:bidi="ar-SA"/>
              </w:rPr>
              <w:t xml:space="preserve"> ×10。</w:t>
            </w:r>
          </w:p>
          <w:p w14:paraId="16A3CAFC">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注：报价超过最高限价或恶意低价竞</w:t>
            </w:r>
            <w:r>
              <w:rPr>
                <w:rFonts w:hint="eastAsia" w:ascii="方正仿宋_GBK" w:hAnsi="方正仿宋_GBK" w:eastAsia="方正仿宋_GBK" w:cs="方正仿宋_GBK"/>
                <w:b w:val="0"/>
                <w:bCs/>
                <w:color w:val="auto"/>
                <w:kern w:val="2"/>
                <w:sz w:val="24"/>
                <w:szCs w:val="24"/>
                <w:highlight w:val="none"/>
                <w:lang w:val="en-US" w:eastAsia="zh-CN" w:bidi="ar-SA"/>
              </w:rPr>
              <w:t>选的“一票否决”参选资格</w:t>
            </w:r>
            <w:r>
              <w:rPr>
                <w:rFonts w:hint="default" w:ascii="Times New Roman" w:hAnsi="Times New Roman" w:eastAsia="方正仿宋_GBK" w:cs="Times New Roman"/>
                <w:b w:val="0"/>
                <w:bCs/>
                <w:color w:val="auto"/>
                <w:kern w:val="2"/>
                <w:sz w:val="24"/>
                <w:szCs w:val="24"/>
                <w:highlight w:val="none"/>
                <w:lang w:val="en-US" w:eastAsia="zh-CN" w:bidi="ar-SA"/>
              </w:rPr>
              <w:t>。</w:t>
            </w:r>
          </w:p>
        </w:tc>
      </w:tr>
      <w:tr w14:paraId="0805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26" w:type="dxa"/>
            <w:noWrap/>
            <w:vAlign w:val="center"/>
          </w:tcPr>
          <w:p w14:paraId="4445F8A2">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2</w:t>
            </w:r>
          </w:p>
        </w:tc>
        <w:tc>
          <w:tcPr>
            <w:tcW w:w="997" w:type="dxa"/>
            <w:noWrap/>
            <w:vAlign w:val="center"/>
          </w:tcPr>
          <w:p w14:paraId="6523E741">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人员配备</w:t>
            </w:r>
          </w:p>
        </w:tc>
        <w:tc>
          <w:tcPr>
            <w:tcW w:w="995" w:type="dxa"/>
            <w:noWrap/>
            <w:vAlign w:val="center"/>
          </w:tcPr>
          <w:p w14:paraId="07D084D4">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38</w:t>
            </w:r>
            <w:r>
              <w:rPr>
                <w:rFonts w:hint="default" w:ascii="Times New Roman" w:hAnsi="Times New Roman" w:eastAsia="方正仿宋_GBK" w:cs="Times New Roman"/>
                <w:b w:val="0"/>
                <w:bCs/>
                <w:color w:val="auto"/>
                <w:kern w:val="2"/>
                <w:sz w:val="24"/>
                <w:szCs w:val="24"/>
                <w:highlight w:val="none"/>
                <w:lang w:val="en-US" w:eastAsia="zh-CN" w:bidi="ar-SA"/>
              </w:rPr>
              <w:t>分</w:t>
            </w:r>
          </w:p>
        </w:tc>
        <w:tc>
          <w:tcPr>
            <w:tcW w:w="6958" w:type="dxa"/>
            <w:noWrap/>
            <w:vAlign w:val="center"/>
          </w:tcPr>
          <w:p w14:paraId="6AB526DD">
            <w:pPr>
              <w:pStyle w:val="6"/>
              <w:keepNext w:val="0"/>
              <w:keepLines w:val="0"/>
              <w:pageBreakBefore w:val="0"/>
              <w:widowControl w:val="0"/>
              <w:numPr>
                <w:ilvl w:val="0"/>
                <w:numId w:val="0"/>
              </w:numPr>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1.项目负责人：具备高级及以上职称证书和有效的政府采购代理机构培训合格证书得</w:t>
            </w:r>
            <w:r>
              <w:rPr>
                <w:rFonts w:hint="eastAsia" w:ascii="Times New Roman" w:eastAsia="方正仿宋_GBK" w:cs="Times New Roman"/>
                <w:b w:val="0"/>
                <w:bCs/>
                <w:color w:val="auto"/>
                <w:kern w:val="2"/>
                <w:sz w:val="24"/>
                <w:szCs w:val="24"/>
                <w:highlight w:val="none"/>
                <w:lang w:val="en-US" w:eastAsia="zh-CN" w:bidi="ar-SA"/>
              </w:rPr>
              <w:t>5</w:t>
            </w:r>
            <w:r>
              <w:rPr>
                <w:rFonts w:hint="default" w:ascii="Times New Roman" w:hAnsi="Times New Roman" w:eastAsia="方正仿宋_GBK" w:cs="Times New Roman"/>
                <w:b w:val="0"/>
                <w:bCs/>
                <w:color w:val="auto"/>
                <w:kern w:val="2"/>
                <w:sz w:val="24"/>
                <w:szCs w:val="24"/>
                <w:highlight w:val="none"/>
                <w:lang w:val="en-US" w:eastAsia="zh-CN" w:bidi="ar-SA"/>
              </w:rPr>
              <w:t>分，在此基础上具备一级或全国注册造价工程师、注册监理工程师，每项加3分。本项最多得1</w:t>
            </w:r>
            <w:r>
              <w:rPr>
                <w:rFonts w:hint="eastAsia" w:ascii="Times New Roman" w:eastAsia="方正仿宋_GBK" w:cs="Times New Roman"/>
                <w:b w:val="0"/>
                <w:bCs/>
                <w:color w:val="auto"/>
                <w:kern w:val="2"/>
                <w:sz w:val="24"/>
                <w:szCs w:val="24"/>
                <w:highlight w:val="none"/>
                <w:lang w:val="en-US" w:eastAsia="zh-CN" w:bidi="ar-SA"/>
              </w:rPr>
              <w:t>1</w:t>
            </w:r>
            <w:r>
              <w:rPr>
                <w:rFonts w:hint="default" w:ascii="Times New Roman" w:hAnsi="Times New Roman" w:eastAsia="方正仿宋_GBK" w:cs="Times New Roman"/>
                <w:b w:val="0"/>
                <w:bCs/>
                <w:color w:val="auto"/>
                <w:kern w:val="2"/>
                <w:sz w:val="24"/>
                <w:szCs w:val="24"/>
                <w:highlight w:val="none"/>
                <w:lang w:val="en-US" w:eastAsia="zh-CN" w:bidi="ar-SA"/>
              </w:rPr>
              <w:t>分。</w:t>
            </w:r>
          </w:p>
          <w:p w14:paraId="5C4BBCD6">
            <w:pPr>
              <w:pStyle w:val="6"/>
              <w:keepNext w:val="0"/>
              <w:keepLines w:val="0"/>
              <w:pageBreakBefore w:val="0"/>
              <w:widowControl w:val="0"/>
              <w:numPr>
                <w:ilvl w:val="0"/>
                <w:numId w:val="0"/>
              </w:numPr>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2.团队人员：拟派团队人员中每有一名人员具备有效的政府采购代理机构培训合格证书得2分，最多得10分。在此基础上每有一名人员具备中级及以上职称证书加2分。最多加6分。本项最多得16分。</w:t>
            </w:r>
          </w:p>
          <w:p w14:paraId="3EF9272D">
            <w:pPr>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3.律师、咨询工程师专业人员：比选申请人聘请专职法律顾问或与合作律师事务所签订协议，具有2名及以上执业律师提供专项服务的得5分。比选申请人每具备一名咨询工程师得2分，本项最多得11分。</w:t>
            </w:r>
          </w:p>
          <w:p w14:paraId="7CD32B3E">
            <w:pPr>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注：1.</w:t>
            </w:r>
            <w:r>
              <w:rPr>
                <w:rFonts w:hint="eastAsia" w:ascii="Times New Roman" w:hAnsi="Times New Roman" w:eastAsia="方正仿宋_GBK" w:cs="Times New Roman"/>
                <w:b w:val="0"/>
                <w:bCs/>
                <w:color w:val="auto"/>
                <w:kern w:val="2"/>
                <w:sz w:val="24"/>
                <w:szCs w:val="24"/>
                <w:highlight w:val="none"/>
                <w:lang w:val="en-US" w:eastAsia="zh-CN" w:bidi="ar-SA"/>
              </w:rPr>
              <w:t>以上人员配备应</w:t>
            </w:r>
            <w:r>
              <w:rPr>
                <w:rFonts w:hint="default" w:ascii="Times New Roman" w:hAnsi="Times New Roman" w:eastAsia="方正仿宋_GBK" w:cs="Times New Roman"/>
                <w:b w:val="0"/>
                <w:bCs/>
                <w:color w:val="auto"/>
                <w:kern w:val="2"/>
                <w:sz w:val="24"/>
                <w:szCs w:val="24"/>
                <w:highlight w:val="none"/>
                <w:lang w:val="en-US" w:eastAsia="zh-CN" w:bidi="ar-SA"/>
              </w:rPr>
              <w:t>提供人员证书复印件及</w:t>
            </w:r>
            <w:r>
              <w:rPr>
                <w:rFonts w:hint="eastAsia" w:ascii="Times New Roman" w:hAnsi="Times New Roman" w:eastAsia="方正仿宋_GBK" w:cs="Times New Roman"/>
                <w:b w:val="0"/>
                <w:bCs/>
                <w:color w:val="auto"/>
                <w:kern w:val="2"/>
                <w:sz w:val="24"/>
                <w:szCs w:val="24"/>
                <w:highlight w:val="none"/>
                <w:lang w:val="en-US" w:eastAsia="zh-CN" w:bidi="ar-SA"/>
              </w:rPr>
              <w:t>近</w:t>
            </w:r>
            <w:r>
              <w:rPr>
                <w:rFonts w:hint="default" w:ascii="Times New Roman" w:hAnsi="Times New Roman" w:eastAsia="方正仿宋_GBK" w:cs="Times New Roman"/>
                <w:b w:val="0"/>
                <w:bCs/>
                <w:color w:val="auto"/>
                <w:kern w:val="2"/>
                <w:sz w:val="24"/>
                <w:szCs w:val="24"/>
                <w:highlight w:val="none"/>
                <w:lang w:val="en-US" w:eastAsia="zh-CN" w:bidi="ar-SA"/>
              </w:rPr>
              <w:t>3个月社保证明。2.</w:t>
            </w:r>
            <w:r>
              <w:rPr>
                <w:rFonts w:hint="eastAsia" w:ascii="Times New Roman" w:hAnsi="Times New Roman" w:eastAsia="方正仿宋_GBK" w:cs="Times New Roman"/>
                <w:b w:val="0"/>
                <w:bCs/>
                <w:color w:val="auto"/>
                <w:kern w:val="2"/>
                <w:sz w:val="24"/>
                <w:szCs w:val="24"/>
                <w:highlight w:val="none"/>
                <w:lang w:val="en-US" w:eastAsia="zh-CN" w:bidi="ar-SA"/>
              </w:rPr>
              <w:t>以上人员配备涉及</w:t>
            </w:r>
            <w:r>
              <w:rPr>
                <w:rFonts w:hint="default" w:ascii="Times New Roman" w:hAnsi="Times New Roman" w:eastAsia="方正仿宋_GBK" w:cs="Times New Roman"/>
                <w:b w:val="0"/>
                <w:bCs/>
                <w:color w:val="auto"/>
                <w:kern w:val="2"/>
                <w:sz w:val="24"/>
                <w:szCs w:val="24"/>
                <w:highlight w:val="none"/>
                <w:lang w:val="en-US" w:eastAsia="zh-CN" w:bidi="ar-SA"/>
              </w:rPr>
              <w:t>退休人员</w:t>
            </w:r>
            <w:r>
              <w:rPr>
                <w:rFonts w:hint="eastAsia" w:ascii="Times New Roman" w:hAnsi="Times New Roman" w:eastAsia="方正仿宋_GBK" w:cs="Times New Roman"/>
                <w:b w:val="0"/>
                <w:bCs/>
                <w:color w:val="auto"/>
                <w:kern w:val="2"/>
                <w:sz w:val="24"/>
                <w:szCs w:val="24"/>
                <w:highlight w:val="none"/>
                <w:lang w:val="en-US" w:eastAsia="zh-CN" w:bidi="ar-SA"/>
              </w:rPr>
              <w:t>的</w:t>
            </w:r>
            <w:r>
              <w:rPr>
                <w:rFonts w:hint="default" w:ascii="Times New Roman" w:hAnsi="Times New Roman" w:eastAsia="方正仿宋_GBK" w:cs="Times New Roman"/>
                <w:b w:val="0"/>
                <w:bCs/>
                <w:color w:val="auto"/>
                <w:kern w:val="2"/>
                <w:sz w:val="24"/>
                <w:szCs w:val="24"/>
                <w:highlight w:val="none"/>
                <w:lang w:val="en-US" w:eastAsia="zh-CN" w:bidi="ar-SA"/>
              </w:rPr>
              <w:t>提供证书复印件、退休证明返聘合同。</w:t>
            </w:r>
          </w:p>
        </w:tc>
      </w:tr>
      <w:tr w14:paraId="3AB5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26" w:type="dxa"/>
            <w:noWrap/>
            <w:vAlign w:val="center"/>
          </w:tcPr>
          <w:p w14:paraId="52BCB748">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3</w:t>
            </w:r>
          </w:p>
        </w:tc>
        <w:tc>
          <w:tcPr>
            <w:tcW w:w="997" w:type="dxa"/>
            <w:noWrap/>
            <w:vAlign w:val="center"/>
          </w:tcPr>
          <w:p w14:paraId="51AC5A21">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企业综合实力</w:t>
            </w:r>
          </w:p>
        </w:tc>
        <w:tc>
          <w:tcPr>
            <w:tcW w:w="995" w:type="dxa"/>
            <w:noWrap/>
            <w:vAlign w:val="center"/>
          </w:tcPr>
          <w:p w14:paraId="7255DF5F">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w:t>
            </w:r>
            <w:r>
              <w:rPr>
                <w:rFonts w:hint="eastAsia" w:ascii="Times New Roman" w:hAnsi="Times New Roman" w:eastAsia="方正仿宋_GBK" w:cs="Times New Roman"/>
                <w:b w:val="0"/>
                <w:bCs/>
                <w:color w:val="auto"/>
                <w:kern w:val="2"/>
                <w:sz w:val="24"/>
                <w:szCs w:val="24"/>
                <w:highlight w:val="none"/>
                <w:lang w:val="en-US" w:eastAsia="zh-CN" w:bidi="ar-SA"/>
              </w:rPr>
              <w:t>2</w:t>
            </w:r>
            <w:r>
              <w:rPr>
                <w:rFonts w:hint="default" w:ascii="Times New Roman" w:hAnsi="Times New Roman" w:eastAsia="方正仿宋_GBK" w:cs="Times New Roman"/>
                <w:b w:val="0"/>
                <w:bCs/>
                <w:color w:val="auto"/>
                <w:kern w:val="2"/>
                <w:sz w:val="24"/>
                <w:szCs w:val="24"/>
                <w:highlight w:val="none"/>
                <w:lang w:val="en-US" w:eastAsia="zh-CN" w:bidi="ar-SA"/>
              </w:rPr>
              <w:t>分</w:t>
            </w:r>
          </w:p>
        </w:tc>
        <w:tc>
          <w:tcPr>
            <w:tcW w:w="6958" w:type="dxa"/>
            <w:noWrap/>
            <w:vAlign w:val="center"/>
          </w:tcPr>
          <w:p w14:paraId="38C97721">
            <w:pPr>
              <w:pStyle w:val="6"/>
              <w:keepNext w:val="0"/>
              <w:keepLines w:val="0"/>
              <w:pageBreakBefore w:val="0"/>
              <w:widowControl w:val="0"/>
              <w:numPr>
                <w:ilvl w:val="0"/>
                <w:numId w:val="0"/>
              </w:numPr>
              <w:kinsoku/>
              <w:wordWrap/>
              <w:overflowPunct/>
              <w:topLinePunct w:val="0"/>
              <w:bidi w:val="0"/>
              <w:snapToGrid/>
              <w:spacing w:line="440" w:lineRule="exact"/>
              <w:jc w:val="both"/>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1.比选申请人具有有效期内的环境管理体系认证证书，得</w:t>
            </w:r>
            <w:r>
              <w:rPr>
                <w:rFonts w:hint="eastAsia" w:ascii="Times New Roman" w:eastAsia="方正仿宋_GBK" w:cs="Times New Roman"/>
                <w:b w:val="0"/>
                <w:bCs/>
                <w:color w:val="auto"/>
                <w:kern w:val="2"/>
                <w:sz w:val="24"/>
                <w:szCs w:val="24"/>
                <w:highlight w:val="none"/>
                <w:lang w:val="en-US" w:eastAsia="zh-CN" w:bidi="ar-SA"/>
              </w:rPr>
              <w:t>3</w:t>
            </w:r>
            <w:r>
              <w:rPr>
                <w:rFonts w:hint="default" w:ascii="Times New Roman" w:hAnsi="Times New Roman" w:eastAsia="方正仿宋_GBK" w:cs="Times New Roman"/>
                <w:b w:val="0"/>
                <w:bCs/>
                <w:color w:val="auto"/>
                <w:kern w:val="2"/>
                <w:sz w:val="24"/>
                <w:szCs w:val="24"/>
                <w:highlight w:val="none"/>
                <w:lang w:val="en-US" w:eastAsia="zh-CN" w:bidi="ar-SA"/>
              </w:rPr>
              <w:t>分；具有有效期内的职业健康安全管理体系认证证书，得</w:t>
            </w:r>
            <w:r>
              <w:rPr>
                <w:rFonts w:hint="eastAsia" w:ascii="Times New Roman" w:eastAsia="方正仿宋_GBK" w:cs="Times New Roman"/>
                <w:b w:val="0"/>
                <w:bCs/>
                <w:color w:val="auto"/>
                <w:kern w:val="2"/>
                <w:sz w:val="24"/>
                <w:szCs w:val="24"/>
                <w:highlight w:val="none"/>
                <w:lang w:val="en-US" w:eastAsia="zh-CN" w:bidi="ar-SA"/>
              </w:rPr>
              <w:t>3</w:t>
            </w:r>
            <w:r>
              <w:rPr>
                <w:rFonts w:hint="default" w:ascii="Times New Roman" w:hAnsi="Times New Roman" w:eastAsia="方正仿宋_GBK" w:cs="Times New Roman"/>
                <w:b w:val="0"/>
                <w:bCs/>
                <w:color w:val="auto"/>
                <w:kern w:val="2"/>
                <w:sz w:val="24"/>
                <w:szCs w:val="24"/>
                <w:highlight w:val="none"/>
                <w:lang w:val="en-US" w:eastAsia="zh-CN" w:bidi="ar-SA"/>
              </w:rPr>
              <w:t>分；具有有效期内的质量管理体系认证证书，得</w:t>
            </w:r>
            <w:r>
              <w:rPr>
                <w:rFonts w:hint="eastAsia" w:ascii="Times New Roman" w:eastAsia="方正仿宋_GBK" w:cs="Times New Roman"/>
                <w:b w:val="0"/>
                <w:bCs/>
                <w:color w:val="auto"/>
                <w:kern w:val="2"/>
                <w:sz w:val="24"/>
                <w:szCs w:val="24"/>
                <w:highlight w:val="none"/>
                <w:lang w:val="en-US" w:eastAsia="zh-CN" w:bidi="ar-SA"/>
              </w:rPr>
              <w:t>3</w:t>
            </w:r>
            <w:r>
              <w:rPr>
                <w:rFonts w:hint="default" w:ascii="Times New Roman" w:hAnsi="Times New Roman" w:eastAsia="方正仿宋_GBK" w:cs="Times New Roman"/>
                <w:b w:val="0"/>
                <w:bCs/>
                <w:color w:val="auto"/>
                <w:kern w:val="2"/>
                <w:sz w:val="24"/>
                <w:szCs w:val="24"/>
                <w:highlight w:val="none"/>
                <w:lang w:val="en-US" w:eastAsia="zh-CN" w:bidi="ar-SA"/>
              </w:rPr>
              <w:t>分；具有有效期内的信息安全管理体系认证证书，得</w:t>
            </w:r>
            <w:r>
              <w:rPr>
                <w:rFonts w:hint="eastAsia" w:ascii="Times New Roman" w:eastAsia="方正仿宋_GBK" w:cs="Times New Roman"/>
                <w:b w:val="0"/>
                <w:bCs/>
                <w:color w:val="auto"/>
                <w:kern w:val="2"/>
                <w:sz w:val="24"/>
                <w:szCs w:val="24"/>
                <w:highlight w:val="none"/>
                <w:lang w:val="en-US" w:eastAsia="zh-CN" w:bidi="ar-SA"/>
              </w:rPr>
              <w:t>3</w:t>
            </w:r>
            <w:r>
              <w:rPr>
                <w:rFonts w:hint="default" w:ascii="Times New Roman" w:hAnsi="Times New Roman" w:eastAsia="方正仿宋_GBK" w:cs="Times New Roman"/>
                <w:b w:val="0"/>
                <w:bCs/>
                <w:color w:val="auto"/>
                <w:kern w:val="2"/>
                <w:sz w:val="24"/>
                <w:szCs w:val="24"/>
                <w:highlight w:val="none"/>
                <w:lang w:val="en-US" w:eastAsia="zh-CN" w:bidi="ar-SA"/>
              </w:rPr>
              <w:t>分。</w:t>
            </w:r>
          </w:p>
        </w:tc>
      </w:tr>
      <w:tr w14:paraId="4807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26" w:type="dxa"/>
            <w:noWrap/>
            <w:vAlign w:val="center"/>
          </w:tcPr>
          <w:p w14:paraId="58C4E201">
            <w:pPr>
              <w:keepNext w:val="0"/>
              <w:keepLines w:val="0"/>
              <w:pageBreakBefore w:val="0"/>
              <w:widowControl w:val="0"/>
              <w:kinsoku/>
              <w:wordWrap/>
              <w:overflowPunct/>
              <w:topLinePunct w:val="0"/>
              <w:bidi w:val="0"/>
              <w:snapToGrid/>
              <w:spacing w:line="440" w:lineRule="exact"/>
              <w:ind w:firstLine="28"/>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4</w:t>
            </w:r>
          </w:p>
        </w:tc>
        <w:tc>
          <w:tcPr>
            <w:tcW w:w="997" w:type="dxa"/>
            <w:noWrap/>
            <w:vAlign w:val="center"/>
          </w:tcPr>
          <w:p w14:paraId="05D910D2">
            <w:pPr>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业绩证明</w:t>
            </w:r>
          </w:p>
        </w:tc>
        <w:tc>
          <w:tcPr>
            <w:tcW w:w="995" w:type="dxa"/>
            <w:noWrap/>
            <w:vAlign w:val="center"/>
          </w:tcPr>
          <w:p w14:paraId="42F32002">
            <w:pPr>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20分</w:t>
            </w:r>
          </w:p>
        </w:tc>
        <w:tc>
          <w:tcPr>
            <w:tcW w:w="6958" w:type="dxa"/>
            <w:noWrap/>
            <w:vAlign w:val="center"/>
          </w:tcPr>
          <w:p w14:paraId="2B345E73">
            <w:pPr>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近3年完成类似项目招标代理，每提供1个有效业绩（协议/合同或中标/成交通知书）得4分，满分20分。</w:t>
            </w:r>
          </w:p>
        </w:tc>
      </w:tr>
      <w:tr w14:paraId="7DB5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626" w:type="dxa"/>
            <w:vMerge w:val="restart"/>
            <w:noWrap/>
            <w:vAlign w:val="center"/>
          </w:tcPr>
          <w:p w14:paraId="06E26ED6">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5</w:t>
            </w:r>
          </w:p>
        </w:tc>
        <w:tc>
          <w:tcPr>
            <w:tcW w:w="997" w:type="dxa"/>
            <w:vMerge w:val="restart"/>
            <w:noWrap/>
            <w:vAlign w:val="center"/>
          </w:tcPr>
          <w:p w14:paraId="59696FA6">
            <w:pPr>
              <w:pStyle w:val="6"/>
              <w:keepNext w:val="0"/>
              <w:keepLines w:val="0"/>
              <w:pageBreakBefore w:val="0"/>
              <w:widowControl w:val="0"/>
              <w:kinsoku/>
              <w:wordWrap/>
              <w:overflowPunct/>
              <w:topLinePunct w:val="0"/>
              <w:bidi w:val="0"/>
              <w:snapToGrid/>
              <w:spacing w:line="440" w:lineRule="exact"/>
              <w:jc w:val="center"/>
              <w:textAlignment w:val="auto"/>
              <w:rPr>
                <w:rFonts w:hint="default"/>
                <w:lang w:val="en-US" w:eastAsia="zh-CN"/>
              </w:rPr>
            </w:pPr>
            <w:r>
              <w:rPr>
                <w:rFonts w:hint="default" w:ascii="Times New Roman" w:hAnsi="Times New Roman" w:eastAsia="方正仿宋_GBK" w:cs="Times New Roman"/>
                <w:b w:val="0"/>
                <w:bCs/>
                <w:color w:val="auto"/>
                <w:kern w:val="2"/>
                <w:sz w:val="24"/>
                <w:szCs w:val="24"/>
                <w:highlight w:val="none"/>
                <w:lang w:val="en-US" w:eastAsia="zh-CN" w:bidi="ar-SA"/>
              </w:rPr>
              <w:t>实施方案</w:t>
            </w:r>
          </w:p>
        </w:tc>
        <w:tc>
          <w:tcPr>
            <w:tcW w:w="995" w:type="dxa"/>
            <w:vMerge w:val="restart"/>
            <w:noWrap/>
            <w:vAlign w:val="center"/>
          </w:tcPr>
          <w:p w14:paraId="1929E46A">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20分</w:t>
            </w:r>
          </w:p>
        </w:tc>
        <w:tc>
          <w:tcPr>
            <w:tcW w:w="6958" w:type="dxa"/>
            <w:noWrap/>
            <w:vAlign w:val="center"/>
          </w:tcPr>
          <w:p w14:paraId="260FB4BF">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服务方案：</w:t>
            </w:r>
          </w:p>
          <w:p w14:paraId="49CE2EB6">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1.方案内容完整、针对性强，完全契合本项目特点，具有完整的采购需求制定方案得10分；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2.方案内容较完整，基本符合项目要求的，得5分；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3.方案内容简单、缺乏针对性的，得2分。</w:t>
            </w:r>
          </w:p>
        </w:tc>
      </w:tr>
      <w:tr w14:paraId="7756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26" w:type="dxa"/>
            <w:vMerge w:val="continue"/>
            <w:noWrap/>
            <w:vAlign w:val="center"/>
          </w:tcPr>
          <w:p w14:paraId="1216A13E">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997" w:type="dxa"/>
            <w:vMerge w:val="continue"/>
            <w:noWrap/>
            <w:vAlign w:val="center"/>
          </w:tcPr>
          <w:p w14:paraId="56EEE937">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995" w:type="dxa"/>
            <w:vMerge w:val="continue"/>
            <w:noWrap/>
            <w:vAlign w:val="center"/>
          </w:tcPr>
          <w:p w14:paraId="061F20FA">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6958" w:type="dxa"/>
            <w:noWrap/>
            <w:vAlign w:val="center"/>
          </w:tcPr>
          <w:p w14:paraId="0BAD4E3A">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进度安排：</w:t>
            </w:r>
          </w:p>
          <w:p w14:paraId="45D656F4">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1.进度安排合理、针对性强，完全契合本项目特点的，得5分；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2.进度安排较合理，基本符合项目要求的，得3分；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3.方案内容简单、缺乏针对性的，得1分。</w:t>
            </w:r>
          </w:p>
        </w:tc>
      </w:tr>
      <w:tr w14:paraId="5485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26" w:type="dxa"/>
            <w:vMerge w:val="continue"/>
            <w:noWrap/>
            <w:vAlign w:val="center"/>
          </w:tcPr>
          <w:p w14:paraId="302A5BDD">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997" w:type="dxa"/>
            <w:vMerge w:val="continue"/>
            <w:noWrap/>
            <w:vAlign w:val="center"/>
          </w:tcPr>
          <w:p w14:paraId="2D11B5EA">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995" w:type="dxa"/>
            <w:vMerge w:val="continue"/>
            <w:noWrap/>
            <w:vAlign w:val="center"/>
          </w:tcPr>
          <w:p w14:paraId="27F57D15">
            <w:pPr>
              <w:pStyle w:val="6"/>
              <w:keepNext w:val="0"/>
              <w:keepLines w:val="0"/>
              <w:pageBreakBefore w:val="0"/>
              <w:widowControl w:val="0"/>
              <w:kinsoku/>
              <w:wordWrap/>
              <w:overflowPunct/>
              <w:topLinePunct w:val="0"/>
              <w:bidi w:val="0"/>
              <w:snapToGrid/>
              <w:spacing w:line="440" w:lineRule="exact"/>
              <w:jc w:val="center"/>
              <w:textAlignment w:val="auto"/>
              <w:rPr>
                <w:rFonts w:hint="default" w:ascii="Times New Roman" w:hAnsi="Times New Roman" w:eastAsia="方正仿宋_GBK" w:cs="Times New Roman"/>
                <w:b w:val="0"/>
                <w:bCs/>
                <w:color w:val="auto"/>
                <w:kern w:val="2"/>
                <w:sz w:val="24"/>
                <w:szCs w:val="24"/>
                <w:highlight w:val="none"/>
                <w:lang w:val="en-US" w:eastAsia="zh-CN" w:bidi="ar-SA"/>
              </w:rPr>
            </w:pPr>
          </w:p>
        </w:tc>
        <w:tc>
          <w:tcPr>
            <w:tcW w:w="6958" w:type="dxa"/>
            <w:noWrap/>
            <w:vAlign w:val="center"/>
          </w:tcPr>
          <w:p w14:paraId="62D1CB83">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紧急情况的处理措施与预案：</w:t>
            </w:r>
          </w:p>
          <w:p w14:paraId="43E9546D">
            <w:pPr>
              <w:pStyle w:val="6"/>
              <w:keepNext w:val="0"/>
              <w:keepLines w:val="0"/>
              <w:pageBreakBefore w:val="0"/>
              <w:widowControl w:val="0"/>
              <w:kinsoku/>
              <w:wordWrap/>
              <w:overflowPunct/>
              <w:topLinePunct w:val="0"/>
              <w:bidi w:val="0"/>
              <w:snapToGrid/>
              <w:spacing w:line="440" w:lineRule="exact"/>
              <w:jc w:val="left"/>
              <w:textAlignment w:val="auto"/>
              <w:rPr>
                <w:rFonts w:hint="default" w:ascii="Times New Roman" w:hAnsi="Times New Roman" w:eastAsia="方正仿宋_GBK" w:cs="Times New Roman"/>
                <w:b w:val="0"/>
                <w:bCs/>
                <w:color w:val="auto"/>
                <w:kern w:val="2"/>
                <w:sz w:val="24"/>
                <w:szCs w:val="24"/>
                <w:highlight w:val="none"/>
                <w:lang w:val="en-US" w:eastAsia="zh-CN" w:bidi="ar-SA"/>
              </w:rPr>
            </w:pPr>
            <w:r>
              <w:rPr>
                <w:rFonts w:hint="default" w:ascii="Times New Roman" w:hAnsi="Times New Roman" w:eastAsia="方正仿宋_GBK" w:cs="Times New Roman"/>
                <w:b w:val="0"/>
                <w:bCs/>
                <w:color w:val="auto"/>
                <w:kern w:val="2"/>
                <w:sz w:val="24"/>
                <w:szCs w:val="24"/>
                <w:highlight w:val="none"/>
                <w:lang w:val="en-US" w:eastAsia="zh-CN" w:bidi="ar-SA"/>
              </w:rPr>
              <w:t>1.紧急情况的处理措施与预案完整、针对性强，完全契合本项目特点的，得5分；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2.紧急情况的处理措施与预案较完整，基本符合项目要求的，得3分；</w:t>
            </w:r>
            <w:r>
              <w:rPr>
                <w:rFonts w:hint="default" w:ascii="Times New Roman" w:hAnsi="Times New Roman" w:eastAsia="方正仿宋_GBK" w:cs="Times New Roman"/>
                <w:b w:val="0"/>
                <w:bCs/>
                <w:color w:val="auto"/>
                <w:kern w:val="2"/>
                <w:sz w:val="24"/>
                <w:szCs w:val="24"/>
                <w:highlight w:val="none"/>
                <w:lang w:val="en-US" w:eastAsia="zh-CN" w:bidi="ar-SA"/>
              </w:rPr>
              <w:br w:type="textWrapping"/>
            </w:r>
            <w:r>
              <w:rPr>
                <w:rFonts w:hint="default" w:ascii="Times New Roman" w:hAnsi="Times New Roman" w:eastAsia="方正仿宋_GBK" w:cs="Times New Roman"/>
                <w:b w:val="0"/>
                <w:bCs/>
                <w:color w:val="auto"/>
                <w:kern w:val="2"/>
                <w:sz w:val="24"/>
                <w:szCs w:val="24"/>
                <w:highlight w:val="none"/>
                <w:lang w:val="en-US" w:eastAsia="zh-CN" w:bidi="ar-SA"/>
              </w:rPr>
              <w:t>3.紧急情况的处理措施与预案简单、缺乏针对性的，得1分。</w:t>
            </w:r>
          </w:p>
        </w:tc>
      </w:tr>
    </w:tbl>
    <w:p w14:paraId="0E3FD673">
      <w:pPr>
        <w:pStyle w:val="2"/>
        <w:keepNext w:val="0"/>
        <w:keepLines w:val="0"/>
        <w:pageBreakBefore w:val="0"/>
        <w:widowControl w:val="0"/>
        <w:kinsoku w:val="0"/>
        <w:wordWrap/>
        <w:overflowPunct w:val="0"/>
        <w:topLinePunct w:val="0"/>
        <w:autoSpaceDE w:val="0"/>
        <w:autoSpaceDN w:val="0"/>
        <w:bidi w:val="0"/>
        <w:adjustRightInd w:val="0"/>
        <w:snapToGrid/>
        <w:spacing w:line="576" w:lineRule="exact"/>
        <w:jc w:val="left"/>
        <w:textAlignment w:val="auto"/>
        <w:rPr>
          <w:rFonts w:hint="default" w:ascii="Times New Roman" w:hAnsi="Times New Roman" w:eastAsia="方正仿宋_GBK" w:cs="Times New Roman"/>
          <w:color w:val="050505"/>
          <w:sz w:val="28"/>
          <w:szCs w:val="28"/>
          <w:lang w:val="en-US" w:eastAsia="zh-CN"/>
        </w:rPr>
      </w:pPr>
      <w:r>
        <w:rPr>
          <w:rFonts w:hint="default" w:ascii="Times New Roman" w:hAnsi="Times New Roman" w:eastAsia="方正仿宋_GBK" w:cs="Times New Roman"/>
          <w:color w:val="050505"/>
          <w:sz w:val="28"/>
          <w:szCs w:val="28"/>
          <w:lang w:val="en-US" w:eastAsia="zh-CN"/>
        </w:rPr>
        <w:t>注：实施方案部分整体控制在30页以内，超过30页的不得分。</w:t>
      </w:r>
    </w:p>
    <w:p w14:paraId="7EF1B79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方正仿宋_GBK" w:hAnsi="方正仿宋_GBK" w:eastAsia="方正仿宋_GBK" w:cs="方正仿宋_GBK"/>
          <w:b w:val="0"/>
          <w:bCs w:val="0"/>
          <w:sz w:val="32"/>
          <w:szCs w:val="32"/>
          <w:lang w:val="en-US" w:eastAsia="zh-CN"/>
        </w:rPr>
      </w:pPr>
    </w:p>
    <w:p w14:paraId="1E6AD4B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CAAE004-6DA3-4F4E-B8AA-44643C7DF417}"/>
  </w:font>
  <w:font w:name="楷体à.ā">
    <w:altName w:val="方正楷体_GBK"/>
    <w:panose1 w:val="00000000000000000000"/>
    <w:charset w:val="86"/>
    <w:family w:val="modern"/>
    <w:pitch w:val="default"/>
    <w:sig w:usb0="00000000" w:usb1="00000000" w:usb2="00000010" w:usb3="00000000" w:csb0="00040000" w:csb1="00000000"/>
  </w:font>
  <w:font w:name="方正黑体_GBK">
    <w:panose1 w:val="02010600010101010101"/>
    <w:charset w:val="86"/>
    <w:family w:val="auto"/>
    <w:pitch w:val="default"/>
    <w:sig w:usb0="00000001" w:usb1="080E0000" w:usb2="00000000" w:usb3="00000000" w:csb0="00040000" w:csb1="00000000"/>
    <w:embedRegular r:id="rId2" w:fontKey="{9B20FDD1-276D-49BC-ABDB-DD2AD0FCA666}"/>
  </w:font>
  <w:font w:name="方正仿宋_GBK">
    <w:panose1 w:val="02000000000000000000"/>
    <w:charset w:val="86"/>
    <w:family w:val="auto"/>
    <w:pitch w:val="default"/>
    <w:sig w:usb0="A00002BF" w:usb1="38CF7CFA" w:usb2="00082016" w:usb3="00000000" w:csb0="00040001" w:csb1="00000000"/>
    <w:embedRegular r:id="rId3" w:fontKey="{08872184-AD23-4404-B039-C54897E40478}"/>
  </w:font>
  <w:font w:name="方正楷体_GBK">
    <w:panose1 w:val="02000000000000000000"/>
    <w:charset w:val="86"/>
    <w:family w:val="auto"/>
    <w:pitch w:val="default"/>
    <w:sig w:usb0="800002BF" w:usb1="38C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E39"/>
    <w:rsid w:val="00A53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1"/>
    <w:pPr>
      <w:spacing w:beforeLines="0" w:afterLines="0"/>
    </w:pPr>
    <w:rPr>
      <w:rFonts w:hint="eastAsia"/>
      <w:sz w:val="31"/>
      <w:szCs w:val="24"/>
    </w:rPr>
  </w:style>
  <w:style w:type="paragraph" w:styleId="3">
    <w:name w:val="footer"/>
    <w:basedOn w:val="1"/>
    <w:unhideWhenUsed/>
    <w:qFormat/>
    <w:uiPriority w:val="99"/>
    <w:pPr>
      <w:tabs>
        <w:tab w:val="center" w:pos="4153"/>
        <w:tab w:val="right" w:pos="8306"/>
      </w:tabs>
      <w:snapToGrid w:val="0"/>
    </w:pPr>
    <w:rPr>
      <w:rFonts w:hint="default"/>
      <w:sz w:val="18"/>
      <w:szCs w:val="24"/>
    </w:rPr>
  </w:style>
  <w:style w:type="paragraph" w:customStyle="1" w:styleId="6">
    <w:name w:val="Default"/>
    <w:next w:val="1"/>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2026-10-12T04:55:00Z</dcterms:created>
  <dc:creator>Alone</dc:creator>
  <cp:lastModifiedBy>Alone</cp:lastModifiedBy>
  <dcterms:modified xsi:type="dcterms:W3CDTF">2026-10-12T04:56:21Z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C9A4AE904DBC4F03AE0A0086695B5DD9_11</vt:lpwstr>
  </property>
  <property fmtid="{D5CDD505-2E9C-101B-9397-08002B2CF9AE}" pid="4" name="KSOTemplateDocerSaveRecord">
    <vt:lpwstr>eyJoZGlkIjoiYjkyZjUwYjQ3ZmIzM2E1NzY2YWIzOWRmZjhmYWU4MGYiLCJ1c2VySWQiOiI1MDA3MTI4MTEifQ==</vt:lpwstr>
  </property>
</Properties>
</file>